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6B90E0" w14:textId="77777777" w:rsidR="000B3613" w:rsidRDefault="00601D09">
      <w:pPr>
        <w:pStyle w:val="Naslov1"/>
        <w:tabs>
          <w:tab w:val="left" w:pos="2268"/>
        </w:tabs>
        <w:ind w:left="360" w:firstLine="360"/>
        <w:jc w:val="center"/>
        <w:rPr>
          <w:rFonts w:ascii="Times New Roman" w:eastAsia="Times New Roman" w:hAnsi="Times New Roman" w:cs="Times New Roman"/>
          <w:sz w:val="28"/>
          <w:szCs w:val="28"/>
        </w:rPr>
      </w:pPr>
      <w:r>
        <w:rPr>
          <w:rFonts w:ascii="Times New Roman" w:eastAsia="Times New Roman" w:hAnsi="Times New Roman" w:cs="Times New Roman"/>
          <w:i/>
          <w:sz w:val="40"/>
          <w:szCs w:val="40"/>
        </w:rPr>
        <w:t>ANNEX II + III :</w:t>
      </w:r>
      <w:r>
        <w:rPr>
          <w:rFonts w:ascii="Times New Roman" w:eastAsia="Times New Roman" w:hAnsi="Times New Roman" w:cs="Times New Roman"/>
          <w:i/>
          <w:sz w:val="40"/>
          <w:szCs w:val="40"/>
        </w:rPr>
        <w:tab/>
      </w:r>
      <w:r>
        <w:rPr>
          <w:rFonts w:ascii="Times New Roman" w:eastAsia="Times New Roman" w:hAnsi="Times New Roman" w:cs="Times New Roman"/>
          <w:i/>
        </w:rPr>
        <w:t xml:space="preserve"> </w:t>
      </w:r>
      <w:r>
        <w:rPr>
          <w:rFonts w:ascii="Times New Roman" w:eastAsia="Times New Roman" w:hAnsi="Times New Roman" w:cs="Times New Roman"/>
          <w:sz w:val="28"/>
          <w:szCs w:val="28"/>
        </w:rPr>
        <w:t>TECHNICAL SPECIFICATIONS + TECHNICAL OFFER / PRILOG II + III: TEHNIČKE SPECIFIKACIJE + TEHNIČKA PONUDA</w:t>
      </w:r>
    </w:p>
    <w:p w14:paraId="41A1A928" w14:textId="77777777" w:rsidR="000B3613" w:rsidRDefault="000B3613">
      <w:pPr>
        <w:spacing w:before="0" w:after="0"/>
        <w:ind w:left="567" w:hanging="567"/>
        <w:rPr>
          <w:rFonts w:ascii="Times New Roman" w:eastAsia="Times New Roman" w:hAnsi="Times New Roman" w:cs="Times New Roman"/>
        </w:rPr>
      </w:pPr>
    </w:p>
    <w:p w14:paraId="71E33DD1" w14:textId="77777777" w:rsidR="000B3613" w:rsidRDefault="00601D09">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Equipment for separate waste collection / Oprema za odvojeno prikupljanje otpada</w:t>
      </w:r>
    </w:p>
    <w:p w14:paraId="35C77669" w14:textId="77777777" w:rsidR="000B3613" w:rsidRDefault="00601D09">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Ref. number: To 0 Waste/supply/03 / Referentni broj: To 0 Waste/oprema/03</w:t>
      </w:r>
    </w:p>
    <w:p w14:paraId="40165ACF" w14:textId="77777777" w:rsidR="000B3613" w:rsidRDefault="00601D09">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 xml:space="preserve">LOT 05 - </w:t>
      </w:r>
      <w:r>
        <w:rPr>
          <w:rFonts w:ascii="Times New Roman" w:eastAsia="Times New Roman" w:hAnsi="Times New Roman" w:cs="Times New Roman"/>
          <w:b/>
          <w:color w:val="000000"/>
          <w:sz w:val="24"/>
          <w:szCs w:val="24"/>
        </w:rPr>
        <w:t>mobile reverse vending machines  / mobilni reciklomati</w:t>
      </w:r>
    </w:p>
    <w:p w14:paraId="34A687AC" w14:textId="77777777" w:rsidR="000B3613" w:rsidRDefault="000B3613">
      <w:pPr>
        <w:spacing w:before="0" w:after="0"/>
        <w:jc w:val="center"/>
        <w:rPr>
          <w:rFonts w:ascii="Times New Roman" w:eastAsia="Times New Roman" w:hAnsi="Times New Roman" w:cs="Times New Roman"/>
          <w:b/>
          <w:sz w:val="22"/>
          <w:szCs w:val="22"/>
          <w:highlight w:val="yellow"/>
        </w:rPr>
      </w:pPr>
    </w:p>
    <w:p w14:paraId="6AB306EB" w14:textId="77777777" w:rsidR="00601D09" w:rsidRDefault="00601D09" w:rsidP="00601D09">
      <w:pPr>
        <w:spacing w:before="0" w:after="0"/>
        <w:ind w:left="567" w:hanging="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Columns 1-2 should be completed by the Project partner/ Stupce 1-2 treba popuniti projektni partner</w:t>
      </w:r>
    </w:p>
    <w:p w14:paraId="711D4AE5" w14:textId="77777777" w:rsidR="00601D09" w:rsidRDefault="00601D09" w:rsidP="00601D09">
      <w:pPr>
        <w:spacing w:before="0" w:after="0"/>
        <w:ind w:left="567" w:hanging="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Columns 3-4 should be completed by the tenderer / Stupce 3-4 popunjava ponuditelj</w:t>
      </w:r>
    </w:p>
    <w:p w14:paraId="0BCF381E" w14:textId="77777777" w:rsidR="00601D09" w:rsidRDefault="00601D09" w:rsidP="00601D09">
      <w:pPr>
        <w:spacing w:before="0"/>
        <w:rPr>
          <w:rFonts w:ascii="Times New Roman" w:eastAsia="Times New Roman" w:hAnsi="Times New Roman" w:cs="Times New Roman"/>
          <w:b/>
          <w:sz w:val="24"/>
          <w:szCs w:val="24"/>
        </w:rPr>
      </w:pPr>
      <w:r>
        <w:rPr>
          <w:rFonts w:ascii="Times New Roman" w:eastAsia="Times New Roman" w:hAnsi="Times New Roman" w:cs="Times New Roman"/>
          <w:b/>
          <w:sz w:val="22"/>
          <w:szCs w:val="22"/>
        </w:rPr>
        <w:t>Column 5 is reserved for the evaluation committee / Stupac 5 rezerviran je za ocjenjivačko povjerenstvo</w:t>
      </w:r>
    </w:p>
    <w:p w14:paraId="27A8935E" w14:textId="77777777" w:rsidR="00601D09" w:rsidRDefault="00601D09" w:rsidP="00601D09">
      <w:pPr>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Annex III - the Contractor's technical offer /</w:t>
      </w:r>
      <w:r>
        <w:rPr>
          <w:rFonts w:ascii="Times New Roman" w:eastAsia="Times New Roman" w:hAnsi="Times New Roman" w:cs="Times New Roman"/>
          <w:b/>
          <w:sz w:val="22"/>
          <w:szCs w:val="22"/>
        </w:rPr>
        <w:t xml:space="preserve"> Prilog III - Tehnička ponuda Dobavljača</w:t>
      </w:r>
    </w:p>
    <w:p w14:paraId="092A4708" w14:textId="77777777" w:rsidR="00601D09" w:rsidRDefault="00601D09" w:rsidP="00601D09">
      <w:pPr>
        <w:spacing w:after="0"/>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The tenderers are requested to complete the template on the next pages:</w:t>
      </w:r>
      <w:r>
        <w:rPr>
          <w:rFonts w:ascii="Times New Roman" w:eastAsia="Times New Roman" w:hAnsi="Times New Roman" w:cs="Times New Roman"/>
          <w:b/>
          <w:sz w:val="22"/>
          <w:szCs w:val="22"/>
        </w:rPr>
        <w:t xml:space="preserve"> / Ponuditelji se mole da ispune obrazac na sljedećim stranicama:</w:t>
      </w:r>
    </w:p>
    <w:p w14:paraId="35F3B521" w14:textId="77777777" w:rsidR="00601D09" w:rsidRDefault="00601D09" w:rsidP="00601D09">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2 is completed by the Project partner shows the required specifications (not to be modified by the tenderer), </w:t>
      </w:r>
      <w:r>
        <w:rPr>
          <w:rFonts w:ascii="Times New Roman" w:eastAsia="Times New Roman" w:hAnsi="Times New Roman" w:cs="Times New Roman"/>
          <w:b/>
          <w:sz w:val="22"/>
          <w:szCs w:val="22"/>
        </w:rPr>
        <w:t>/ Stupac 2 popunjava projektni partner prikazuje potrebne specifikacije (ponuditelj ih ne smije mijenjati),</w:t>
      </w:r>
    </w:p>
    <w:p w14:paraId="617887CE" w14:textId="77777777" w:rsidR="00601D09" w:rsidRDefault="00601D09" w:rsidP="00601D09">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3 is to be filled in by the tenderer and must detail what is offered (for example the words “compliant” or “yes” are not sufficient)  </w:t>
      </w:r>
      <w:r>
        <w:rPr>
          <w:rFonts w:ascii="Times New Roman" w:eastAsia="Times New Roman" w:hAnsi="Times New Roman" w:cs="Times New Roman"/>
          <w:b/>
          <w:sz w:val="22"/>
          <w:szCs w:val="22"/>
        </w:rPr>
        <w:t>/ Stupac 3 popunjava ponuditelj i mora navesti što se nudi (na primjer riječi „sukladno” ili „da” nisu dovoljne)</w:t>
      </w:r>
    </w:p>
    <w:p w14:paraId="67FEDB5A" w14:textId="77777777" w:rsidR="00601D09" w:rsidRDefault="00601D09" w:rsidP="00601D09">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4 allows the tenderer to make comments on its proposed supply and to make eventual references to the documentation </w:t>
      </w:r>
      <w:r>
        <w:rPr>
          <w:rFonts w:ascii="Times New Roman" w:eastAsia="Times New Roman" w:hAnsi="Times New Roman" w:cs="Times New Roman"/>
          <w:b/>
          <w:sz w:val="22"/>
          <w:szCs w:val="22"/>
        </w:rPr>
        <w:t>/ Stupac 4 omogućuje ponuditelju da daje komentare na svoju predloženu isporuku i da se eventualno poziva na dokumentaciju</w:t>
      </w:r>
    </w:p>
    <w:p w14:paraId="3731ECA7" w14:textId="77777777" w:rsidR="00601D09" w:rsidRDefault="00601D09" w:rsidP="00601D09">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eventual documentation supplied should clearly indicate (highlight, mark) the models offered and the options included, if any, so that the evaluators can see the exact configuration. Offers that do not permit to identify precisely the models and the specifications may be rejected by the evaluation committee. </w:t>
      </w:r>
      <w:r>
        <w:rPr>
          <w:rFonts w:ascii="Times New Roman" w:eastAsia="Times New Roman" w:hAnsi="Times New Roman" w:cs="Times New Roman"/>
          <w:b/>
          <w:sz w:val="22"/>
          <w:szCs w:val="22"/>
        </w:rPr>
        <w:t>/ Eventualno dostavljena dokumentacija treba jasno naznačiti (istaknuti, označiti) ponuđene modele i uključene opcije, ako ih ima, tako da evaluatori mogu vidjeti točnu konfiguraciju. Ponude koje ne dopuštaju preciznu identifikaciju modela i specifikacija mogu biti odbijene od strane komisije za ocjenjivanje.</w:t>
      </w:r>
    </w:p>
    <w:p w14:paraId="11509E29" w14:textId="77777777" w:rsidR="00601D09" w:rsidRDefault="00601D09" w:rsidP="00601D09">
      <w:pPr>
        <w:spacing w:after="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The offer must be clear enough to allow the evaluators to make an easy comparison between the requested specifications and the offered</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 xml:space="preserve">specifications. </w:t>
      </w:r>
      <w:r>
        <w:rPr>
          <w:rFonts w:ascii="Times New Roman" w:eastAsia="Times New Roman" w:hAnsi="Times New Roman" w:cs="Times New Roman"/>
          <w:b/>
          <w:sz w:val="22"/>
          <w:szCs w:val="22"/>
        </w:rPr>
        <w:t>/ Ponuda mora biti dovoljno jasna da ocjenjivačima omogući jednostavnu usporedbu između traženih specifikacija i ponuđenih specifikacija.</w:t>
      </w:r>
    </w:p>
    <w:p w14:paraId="5CD0360D" w14:textId="77777777" w:rsidR="00601D09" w:rsidRDefault="00601D09" w:rsidP="00601D09">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 xml:space="preserve">The requirements set out in the technical specifications represent the minimum technical characteristics which offered goods must satisfy, unless stated otherwise, and tenderers are not allowed to modify technical specification in any way. </w:t>
      </w:r>
      <w:r>
        <w:rPr>
          <w:rFonts w:ascii="Times New Roman" w:eastAsia="Times New Roman" w:hAnsi="Times New Roman" w:cs="Times New Roman"/>
          <w:b/>
          <w:sz w:val="22"/>
          <w:szCs w:val="22"/>
        </w:rPr>
        <w:t>/ Zahtjevi navedeni u tehničkim specifikacijama predstavljaju minimalne tehničke karakteristike koje ponuđena roba mora zadovoljiti, osim ako nije drugačije navedeno, te ponuditeljima nije dopuštena izmjena tehničke specifikacije na bilo koji način.</w:t>
      </w:r>
    </w:p>
    <w:p w14:paraId="300526D4" w14:textId="3AB6828A" w:rsidR="000B3613" w:rsidRDefault="00601D09" w:rsidP="00601D09">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For each item for which it is not explicitly stated that it is allowed to offer goods of the equal characteristics, i.e. for each item where it is not stated “or equivalent”, for the purposes of this tender documentation it is assumed that words “or equivalent” are stated, and tenderer is allowed to offer equivalent goods / goods of equivalent characteristics. </w:t>
      </w:r>
      <w:r>
        <w:rPr>
          <w:rFonts w:ascii="Times New Roman" w:eastAsia="Times New Roman" w:hAnsi="Times New Roman" w:cs="Times New Roman"/>
          <w:b/>
          <w:sz w:val="22"/>
          <w:szCs w:val="22"/>
        </w:rPr>
        <w:t>/ Za svaku stavku za koju nije izričito navedeno da je dopušteno nuditi robu jednakih svojstava, odnosno za svaku stavku za koju nije navedeno „ili ekvivalent“, za potrebe ove dokumentacije za nadmetanje podrazumijeva se da su riječi „ili ekvivalent” navedene, a ponuditelju je dopušteno ponuditi istovrijednu robu / robu jednakih svojstava</w:t>
      </w:r>
      <w:r>
        <w:rPr>
          <w:rFonts w:ascii="Times New Roman" w:eastAsia="Times New Roman" w:hAnsi="Times New Roman" w:cs="Times New Roman"/>
          <w:b/>
          <w:sz w:val="22"/>
          <w:szCs w:val="22"/>
        </w:rPr>
        <w:t>.</w:t>
      </w:r>
    </w:p>
    <w:p w14:paraId="50AF5CE5" w14:textId="77777777" w:rsidR="000B3613" w:rsidRDefault="000B3613">
      <w:pPr>
        <w:ind w:left="567" w:hanging="567"/>
        <w:jc w:val="both"/>
        <w:rPr>
          <w:rFonts w:ascii="Times New Roman" w:eastAsia="Times New Roman" w:hAnsi="Times New Roman" w:cs="Times New Roman"/>
          <w:sz w:val="22"/>
          <w:szCs w:val="22"/>
        </w:rPr>
      </w:pPr>
    </w:p>
    <w:p w14:paraId="728B9AC6" w14:textId="77777777" w:rsidR="000B3613" w:rsidRDefault="000B3613"/>
    <w:p w14:paraId="70BD991C" w14:textId="77777777" w:rsidR="000B3613" w:rsidRDefault="000B3613"/>
    <w:p w14:paraId="34A7B8B0" w14:textId="77777777" w:rsidR="000B3613" w:rsidRDefault="000B3613"/>
    <w:p w14:paraId="216518F9" w14:textId="77777777" w:rsidR="000B3613" w:rsidRDefault="000B3613"/>
    <w:p w14:paraId="3E7BC48D" w14:textId="77777777" w:rsidR="000B3613" w:rsidRDefault="000B3613"/>
    <w:p w14:paraId="2D3022A0" w14:textId="77777777" w:rsidR="000B3613" w:rsidRDefault="000B3613"/>
    <w:p w14:paraId="2AAD1FF4" w14:textId="77777777" w:rsidR="000B3613" w:rsidRDefault="000B3613"/>
    <w:p w14:paraId="4EAFA696" w14:textId="77777777" w:rsidR="000B3613" w:rsidRDefault="000B3613"/>
    <w:p w14:paraId="4396A541" w14:textId="77777777" w:rsidR="000B3613" w:rsidRDefault="000B3613"/>
    <w:p w14:paraId="054E8383" w14:textId="77777777" w:rsidR="000B3613" w:rsidRDefault="000B3613"/>
    <w:p w14:paraId="3017E459" w14:textId="77777777" w:rsidR="000B3613" w:rsidRDefault="000B3613"/>
    <w:p w14:paraId="1FA0072C" w14:textId="77777777" w:rsidR="000B3613" w:rsidRDefault="000B3613"/>
    <w:p w14:paraId="593FD87B" w14:textId="77777777" w:rsidR="000B3613" w:rsidRDefault="000B3613"/>
    <w:p w14:paraId="0160DB0D" w14:textId="77777777" w:rsidR="000B3613" w:rsidRDefault="000B3613"/>
    <w:p w14:paraId="7BC03891" w14:textId="77777777" w:rsidR="000B3613" w:rsidRDefault="000B3613"/>
    <w:p w14:paraId="18471162" w14:textId="77777777" w:rsidR="000B3613" w:rsidRDefault="000B3613">
      <w:pPr>
        <w:rPr>
          <w:rFonts w:ascii="Times New Roman" w:eastAsia="Times New Roman" w:hAnsi="Times New Roman" w:cs="Times New Roman"/>
          <w:sz w:val="22"/>
          <w:szCs w:val="22"/>
        </w:rPr>
      </w:pPr>
    </w:p>
    <w:p w14:paraId="7972A19B" w14:textId="77777777" w:rsidR="000B3613" w:rsidRDefault="000B3613">
      <w:pPr>
        <w:rPr>
          <w:rFonts w:ascii="Times New Roman" w:eastAsia="Times New Roman" w:hAnsi="Times New Roman" w:cs="Times New Roman"/>
          <w:sz w:val="22"/>
          <w:szCs w:val="22"/>
        </w:rPr>
      </w:pPr>
    </w:p>
    <w:p w14:paraId="3DAEC2AD" w14:textId="77777777" w:rsidR="000B3613" w:rsidRDefault="000B3613">
      <w:pPr>
        <w:rPr>
          <w:rFonts w:ascii="Times New Roman" w:eastAsia="Times New Roman" w:hAnsi="Times New Roman" w:cs="Times New Roman"/>
          <w:b/>
          <w:color w:val="000000"/>
          <w:sz w:val="28"/>
          <w:szCs w:val="28"/>
        </w:rPr>
      </w:pPr>
    </w:p>
    <w:tbl>
      <w:tblPr>
        <w:tblStyle w:val="a0"/>
        <w:tblW w:w="14884"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4678"/>
        <w:gridCol w:w="4253"/>
        <w:gridCol w:w="2835"/>
        <w:gridCol w:w="1984"/>
      </w:tblGrid>
      <w:tr w:rsidR="000B3613" w14:paraId="71A1B1A0" w14:textId="77777777">
        <w:trPr>
          <w:cantSplit/>
          <w:trHeight w:val="879"/>
          <w:tblHeader/>
        </w:trPr>
        <w:tc>
          <w:tcPr>
            <w:tcW w:w="1134" w:type="dxa"/>
            <w:shd w:val="clear" w:color="auto" w:fill="F2F2F2"/>
          </w:tcPr>
          <w:p w14:paraId="746F3AFD" w14:textId="77777777" w:rsidR="000B3613" w:rsidRDefault="00601D09">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w:t>
            </w:r>
          </w:p>
          <w:p w14:paraId="6A36FB70" w14:textId="77777777" w:rsidR="000B3613" w:rsidRDefault="00601D09">
            <w:pPr>
              <w:jc w:val="cente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Item Number / Broj stavke</w:t>
            </w:r>
          </w:p>
        </w:tc>
        <w:tc>
          <w:tcPr>
            <w:tcW w:w="4678" w:type="dxa"/>
            <w:shd w:val="clear" w:color="auto" w:fill="F2F2F2"/>
          </w:tcPr>
          <w:p w14:paraId="5A58D785" w14:textId="77777777" w:rsidR="000B3613" w:rsidRDefault="00601D09">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2.</w:t>
            </w:r>
          </w:p>
          <w:p w14:paraId="1D50EF5F" w14:textId="77777777" w:rsidR="000B3613" w:rsidRDefault="00601D09">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Specifications Required / Obavezne specifikacije</w:t>
            </w:r>
          </w:p>
        </w:tc>
        <w:tc>
          <w:tcPr>
            <w:tcW w:w="4253" w:type="dxa"/>
            <w:shd w:val="clear" w:color="auto" w:fill="F2F2F2"/>
          </w:tcPr>
          <w:p w14:paraId="44FBD21F" w14:textId="77777777" w:rsidR="000B3613" w:rsidRDefault="00601D09">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w:t>
            </w:r>
          </w:p>
          <w:p w14:paraId="0BB8DB76" w14:textId="77777777" w:rsidR="000B3613" w:rsidRDefault="00601D09">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Specifications Offered / Ponuđene specifikacije</w:t>
            </w:r>
          </w:p>
        </w:tc>
        <w:tc>
          <w:tcPr>
            <w:tcW w:w="2835" w:type="dxa"/>
            <w:shd w:val="clear" w:color="auto" w:fill="F2F2F2"/>
          </w:tcPr>
          <w:p w14:paraId="4DC7FC6F" w14:textId="77777777" w:rsidR="000B3613" w:rsidRDefault="00601D09">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4. </w:t>
            </w:r>
          </w:p>
          <w:p w14:paraId="0C2BFB81" w14:textId="77777777" w:rsidR="000B3613" w:rsidRDefault="00601D09">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Notes, remarks, </w:t>
            </w:r>
            <w:r>
              <w:rPr>
                <w:rFonts w:ascii="Times New Roman" w:eastAsia="Times New Roman" w:hAnsi="Times New Roman" w:cs="Times New Roman"/>
                <w:b/>
                <w:sz w:val="22"/>
                <w:szCs w:val="22"/>
              </w:rPr>
              <w:br/>
              <w:t>ref to documentation / Bilješke, primjedbe, referenca na dokumentaciju</w:t>
            </w:r>
          </w:p>
          <w:p w14:paraId="0E5C3ACA" w14:textId="77777777" w:rsidR="000B3613" w:rsidRDefault="000B3613">
            <w:pPr>
              <w:tabs>
                <w:tab w:val="left" w:pos="729"/>
              </w:tabs>
              <w:jc w:val="center"/>
              <w:rPr>
                <w:rFonts w:ascii="Times New Roman" w:eastAsia="Times New Roman" w:hAnsi="Times New Roman" w:cs="Times New Roman"/>
                <w:b/>
                <w:sz w:val="22"/>
                <w:szCs w:val="22"/>
              </w:rPr>
            </w:pPr>
          </w:p>
        </w:tc>
        <w:tc>
          <w:tcPr>
            <w:tcW w:w="1984" w:type="dxa"/>
            <w:shd w:val="clear" w:color="auto" w:fill="F2F2F2"/>
          </w:tcPr>
          <w:p w14:paraId="03481055" w14:textId="77777777" w:rsidR="000B3613" w:rsidRDefault="00601D09">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5.</w:t>
            </w:r>
          </w:p>
          <w:p w14:paraId="7EA74226" w14:textId="77777777" w:rsidR="000B3613" w:rsidRDefault="00601D09">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Evaluation Committee’s decision (Y/N)  / Odluka Odbora za ocjenjivanje (Da/Ne)</w:t>
            </w:r>
          </w:p>
        </w:tc>
      </w:tr>
      <w:tr w:rsidR="000B3613" w14:paraId="3C4E1B8F" w14:textId="77777777">
        <w:tc>
          <w:tcPr>
            <w:tcW w:w="1134" w:type="dxa"/>
          </w:tcPr>
          <w:p w14:paraId="632847C6" w14:textId="77777777" w:rsidR="000B3613" w:rsidRDefault="00601D09">
            <w:pP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1</w:t>
            </w:r>
          </w:p>
        </w:tc>
        <w:tc>
          <w:tcPr>
            <w:tcW w:w="4678" w:type="dxa"/>
            <w:vAlign w:val="center"/>
          </w:tcPr>
          <w:p w14:paraId="1B56727D" w14:textId="77777777" w:rsidR="000B3613" w:rsidRDefault="00601D09">
            <w:pPr>
              <w:spacing w:before="0" w:after="160" w:line="259" w:lineRule="auto"/>
              <w:jc w:val="center"/>
              <w:rPr>
                <w:rFonts w:ascii="Times New Roman" w:eastAsia="Times New Roman" w:hAnsi="Times New Roman" w:cs="Times New Roman"/>
                <w:b/>
                <w:sz w:val="22"/>
                <w:szCs w:val="22"/>
              </w:rPr>
            </w:pPr>
            <w:r>
              <w:rPr>
                <w:rFonts w:ascii="Times New Roman" w:eastAsia="Times New Roman" w:hAnsi="Times New Roman" w:cs="Times New Roman"/>
                <w:sz w:val="22"/>
                <w:szCs w:val="22"/>
              </w:rPr>
              <w:t>OUTDOOR RECYCLING MACHINE</w:t>
            </w:r>
            <w:r>
              <w:rPr>
                <w:rFonts w:ascii="Times New Roman" w:eastAsia="Times New Roman" w:hAnsi="Times New Roman" w:cs="Times New Roman"/>
                <w:b/>
                <w:sz w:val="22"/>
                <w:szCs w:val="22"/>
              </w:rPr>
              <w:t xml:space="preserve"> /RECIKLOMAT VANJSKI</w:t>
            </w:r>
          </w:p>
          <w:p w14:paraId="5E72ED0A"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Types of packaging accepted by the machine</w:t>
            </w:r>
            <w:r>
              <w:rPr>
                <w:rFonts w:ascii="Times New Roman" w:eastAsia="Times New Roman" w:hAnsi="Times New Roman" w:cs="Times New Roman"/>
                <w:b/>
                <w:sz w:val="22"/>
                <w:szCs w:val="22"/>
              </w:rPr>
              <w:t>/Vrste ambalaže koje uređaj prihvata:</w:t>
            </w:r>
          </w:p>
          <w:p w14:paraId="79FC8B58" w14:textId="77777777" w:rsidR="000B3613" w:rsidRDefault="00601D09">
            <w:pPr>
              <w:numPr>
                <w:ilvl w:val="0"/>
                <w:numId w:val="1"/>
              </w:numPr>
              <w:pBdr>
                <w:top w:val="nil"/>
                <w:left w:val="nil"/>
                <w:bottom w:val="nil"/>
                <w:right w:val="nil"/>
                <w:between w:val="nil"/>
              </w:pBdr>
              <w:spacing w:before="0" w:after="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PET bottles: Empty plastic bottles up to 2.5 liters./</w:t>
            </w:r>
            <w:r>
              <w:rPr>
                <w:rFonts w:ascii="Times New Roman" w:eastAsia="Times New Roman" w:hAnsi="Times New Roman" w:cs="Times New Roman"/>
                <w:b/>
                <w:color w:val="000000"/>
                <w:sz w:val="22"/>
                <w:szCs w:val="22"/>
              </w:rPr>
              <w:t>PET flaše: Prazne plastične boce do veličine 2,5 litra.</w:t>
            </w:r>
          </w:p>
          <w:p w14:paraId="687AB2B1" w14:textId="77777777" w:rsidR="000B3613" w:rsidRDefault="00601D09">
            <w:pPr>
              <w:numPr>
                <w:ilvl w:val="0"/>
                <w:numId w:val="1"/>
              </w:numPr>
              <w:pBdr>
                <w:top w:val="nil"/>
                <w:left w:val="nil"/>
                <w:bottom w:val="nil"/>
                <w:right w:val="nil"/>
                <w:between w:val="nil"/>
              </w:pBdr>
              <w:spacing w:before="0" w:after="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Aluminum cans: Standard size./</w:t>
            </w:r>
            <w:r>
              <w:rPr>
                <w:rFonts w:ascii="Times New Roman" w:eastAsia="Times New Roman" w:hAnsi="Times New Roman" w:cs="Times New Roman"/>
                <w:b/>
                <w:color w:val="000000"/>
                <w:sz w:val="22"/>
                <w:szCs w:val="22"/>
              </w:rPr>
              <w:t>Aluminijske limenke: Standardne veličine.</w:t>
            </w:r>
          </w:p>
          <w:p w14:paraId="462616BA" w14:textId="77777777" w:rsidR="000B3613" w:rsidRDefault="00601D09">
            <w:pPr>
              <w:numPr>
                <w:ilvl w:val="0"/>
                <w:numId w:val="1"/>
              </w:numPr>
              <w:pBdr>
                <w:top w:val="nil"/>
                <w:left w:val="nil"/>
                <w:bottom w:val="nil"/>
                <w:right w:val="nil"/>
                <w:between w:val="nil"/>
              </w:pBdr>
              <w:spacing w:before="0" w:after="16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Glass bottles: Up to 2.5 liters./</w:t>
            </w:r>
            <w:r>
              <w:rPr>
                <w:rFonts w:ascii="Times New Roman" w:eastAsia="Times New Roman" w:hAnsi="Times New Roman" w:cs="Times New Roman"/>
                <w:b/>
                <w:color w:val="000000"/>
                <w:sz w:val="22"/>
                <w:szCs w:val="22"/>
              </w:rPr>
              <w:t>Staklene boce: Veličine do 2,5 litra.</w:t>
            </w:r>
          </w:p>
          <w:p w14:paraId="3E42C306"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Operating speed/ </w:t>
            </w:r>
            <w:r>
              <w:rPr>
                <w:rFonts w:ascii="Times New Roman" w:eastAsia="Times New Roman" w:hAnsi="Times New Roman" w:cs="Times New Roman"/>
                <w:b/>
                <w:sz w:val="22"/>
                <w:szCs w:val="22"/>
              </w:rPr>
              <w:t>Brzina rada:</w:t>
            </w:r>
          </w:p>
          <w:p w14:paraId="224094C6" w14:textId="77777777" w:rsidR="000B3613" w:rsidRDefault="00601D09">
            <w:pPr>
              <w:numPr>
                <w:ilvl w:val="0"/>
                <w:numId w:val="2"/>
              </w:numPr>
              <w:pBdr>
                <w:top w:val="nil"/>
                <w:left w:val="nil"/>
                <w:bottom w:val="nil"/>
                <w:right w:val="nil"/>
                <w:between w:val="nil"/>
              </w:pBdr>
              <w:spacing w:before="0" w:after="16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sz w:val="22"/>
                <w:szCs w:val="22"/>
              </w:rPr>
              <w:t xml:space="preserve">Maximum </w:t>
            </w:r>
            <w:r>
              <w:rPr>
                <w:rFonts w:ascii="Times New Roman" w:eastAsia="Times New Roman" w:hAnsi="Times New Roman" w:cs="Times New Roman"/>
                <w:color w:val="000000"/>
                <w:sz w:val="22"/>
                <w:szCs w:val="22"/>
              </w:rPr>
              <w:t>acceptance speed up to 20 units per minute./</w:t>
            </w:r>
            <w:r>
              <w:rPr>
                <w:rFonts w:ascii="Times New Roman" w:eastAsia="Times New Roman" w:hAnsi="Times New Roman" w:cs="Times New Roman"/>
                <w:b/>
                <w:color w:val="000000"/>
                <w:sz w:val="22"/>
                <w:szCs w:val="22"/>
              </w:rPr>
              <w:t>Maksimalna brzina prihvaćanja do 20 jedinica po minutu.</w:t>
            </w:r>
          </w:p>
          <w:p w14:paraId="2298305F" w14:textId="77777777" w:rsidR="000B3613" w:rsidRDefault="00601D09">
            <w:pPr>
              <w:spacing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Waste collection system/</w:t>
            </w:r>
            <w:r>
              <w:rPr>
                <w:rFonts w:ascii="Times New Roman" w:eastAsia="Times New Roman" w:hAnsi="Times New Roman" w:cs="Times New Roman"/>
                <w:b/>
                <w:sz w:val="22"/>
                <w:szCs w:val="22"/>
              </w:rPr>
              <w:t xml:space="preserve"> Sistem sakupljanja otpada:</w:t>
            </w:r>
          </w:p>
          <w:p w14:paraId="43846814" w14:textId="77777777" w:rsidR="000B3613" w:rsidRDefault="00601D09">
            <w:pPr>
              <w:numPr>
                <w:ilvl w:val="0"/>
                <w:numId w:val="2"/>
              </w:numPr>
              <w:pBdr>
                <w:top w:val="nil"/>
                <w:left w:val="nil"/>
                <w:bottom w:val="nil"/>
                <w:right w:val="nil"/>
                <w:between w:val="nil"/>
              </w:pBdr>
              <w:spacing w:before="0" w:after="16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lastRenderedPageBreak/>
              <w:t>Jumbo bag, capacity up to 1,000 kg, or Container./</w:t>
            </w:r>
            <w:r>
              <w:rPr>
                <w:rFonts w:ascii="Times New Roman" w:eastAsia="Times New Roman" w:hAnsi="Times New Roman" w:cs="Times New Roman"/>
                <w:b/>
                <w:color w:val="000000"/>
                <w:sz w:val="22"/>
                <w:szCs w:val="22"/>
              </w:rPr>
              <w:t>Jumbo vreća, nosivosti do 1.000 kg, ili kontejner.</w:t>
            </w:r>
          </w:p>
          <w:p w14:paraId="4999B09D"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Product dimensions/ </w:t>
            </w:r>
            <w:r>
              <w:rPr>
                <w:rFonts w:ascii="Times New Roman" w:eastAsia="Times New Roman" w:hAnsi="Times New Roman" w:cs="Times New Roman"/>
                <w:b/>
                <w:sz w:val="22"/>
                <w:szCs w:val="22"/>
              </w:rPr>
              <w:t>Dimenzije proizvoda:</w:t>
            </w:r>
          </w:p>
          <w:p w14:paraId="28195FB6" w14:textId="77777777" w:rsidR="000B3613" w:rsidRDefault="00601D09">
            <w:pPr>
              <w:numPr>
                <w:ilvl w:val="0"/>
                <w:numId w:val="2"/>
              </w:numPr>
              <w:pBdr>
                <w:top w:val="nil"/>
                <w:left w:val="nil"/>
                <w:bottom w:val="nil"/>
                <w:right w:val="nil"/>
                <w:between w:val="nil"/>
              </w:pBdr>
              <w:spacing w:before="0" w:after="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Width: maximum 1,</w:t>
            </w:r>
            <w:r>
              <w:rPr>
                <w:rFonts w:ascii="Times New Roman" w:eastAsia="Times New Roman" w:hAnsi="Times New Roman" w:cs="Times New Roman"/>
                <w:sz w:val="22"/>
                <w:szCs w:val="22"/>
              </w:rPr>
              <w:t>1</w:t>
            </w:r>
            <w:r>
              <w:rPr>
                <w:rFonts w:ascii="Times New Roman" w:eastAsia="Times New Roman" w:hAnsi="Times New Roman" w:cs="Times New Roman"/>
                <w:color w:val="000000"/>
                <w:sz w:val="22"/>
                <w:szCs w:val="22"/>
              </w:rPr>
              <w:t>00 mm/</w:t>
            </w:r>
            <w:r>
              <w:rPr>
                <w:rFonts w:ascii="Times New Roman" w:eastAsia="Times New Roman" w:hAnsi="Times New Roman" w:cs="Times New Roman"/>
                <w:b/>
                <w:color w:val="000000"/>
                <w:sz w:val="22"/>
                <w:szCs w:val="22"/>
              </w:rPr>
              <w:t>Širina: maximum 1.</w:t>
            </w:r>
            <w:r>
              <w:rPr>
                <w:rFonts w:ascii="Times New Roman" w:eastAsia="Times New Roman" w:hAnsi="Times New Roman" w:cs="Times New Roman"/>
                <w:b/>
                <w:sz w:val="22"/>
                <w:szCs w:val="22"/>
              </w:rPr>
              <w:t>1</w:t>
            </w:r>
            <w:r>
              <w:rPr>
                <w:rFonts w:ascii="Times New Roman" w:eastAsia="Times New Roman" w:hAnsi="Times New Roman" w:cs="Times New Roman"/>
                <w:b/>
                <w:color w:val="000000"/>
                <w:sz w:val="22"/>
                <w:szCs w:val="22"/>
              </w:rPr>
              <w:t>00 mm</w:t>
            </w:r>
          </w:p>
          <w:p w14:paraId="70799970" w14:textId="77777777" w:rsidR="000B3613" w:rsidRDefault="00601D09">
            <w:pPr>
              <w:numPr>
                <w:ilvl w:val="0"/>
                <w:numId w:val="2"/>
              </w:numPr>
              <w:pBdr>
                <w:top w:val="nil"/>
                <w:left w:val="nil"/>
                <w:bottom w:val="nil"/>
                <w:right w:val="nil"/>
                <w:between w:val="nil"/>
              </w:pBdr>
              <w:spacing w:before="0" w:after="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Depth: </w:t>
            </w:r>
            <w:r>
              <w:rPr>
                <w:rFonts w:ascii="Times New Roman" w:eastAsia="Times New Roman" w:hAnsi="Times New Roman" w:cs="Times New Roman"/>
                <w:sz w:val="22"/>
                <w:szCs w:val="22"/>
              </w:rPr>
              <w:t xml:space="preserve">maximum </w:t>
            </w:r>
            <w:r>
              <w:rPr>
                <w:rFonts w:ascii="Times New Roman" w:eastAsia="Times New Roman" w:hAnsi="Times New Roman" w:cs="Times New Roman"/>
                <w:color w:val="000000"/>
                <w:sz w:val="22"/>
                <w:szCs w:val="22"/>
              </w:rPr>
              <w:t>1,300 mm/</w:t>
            </w:r>
            <w:r>
              <w:rPr>
                <w:rFonts w:ascii="Times New Roman" w:eastAsia="Times New Roman" w:hAnsi="Times New Roman" w:cs="Times New Roman"/>
                <w:b/>
                <w:color w:val="000000"/>
                <w:sz w:val="22"/>
                <w:szCs w:val="22"/>
              </w:rPr>
              <w:t xml:space="preserve">Dubina: </w:t>
            </w:r>
            <w:r>
              <w:rPr>
                <w:rFonts w:ascii="Times New Roman" w:eastAsia="Times New Roman" w:hAnsi="Times New Roman" w:cs="Times New Roman"/>
                <w:b/>
                <w:sz w:val="22"/>
                <w:szCs w:val="22"/>
              </w:rPr>
              <w:t xml:space="preserve">maximum </w:t>
            </w:r>
            <w:r>
              <w:rPr>
                <w:rFonts w:ascii="Times New Roman" w:eastAsia="Times New Roman" w:hAnsi="Times New Roman" w:cs="Times New Roman"/>
                <w:b/>
                <w:color w:val="000000"/>
                <w:sz w:val="22"/>
                <w:szCs w:val="22"/>
              </w:rPr>
              <w:t>1.300 mm</w:t>
            </w:r>
          </w:p>
          <w:p w14:paraId="0400531B" w14:textId="77777777" w:rsidR="000B3613" w:rsidRDefault="00601D09">
            <w:pPr>
              <w:numPr>
                <w:ilvl w:val="0"/>
                <w:numId w:val="2"/>
              </w:numPr>
              <w:pBdr>
                <w:top w:val="nil"/>
                <w:left w:val="nil"/>
                <w:bottom w:val="nil"/>
                <w:right w:val="nil"/>
                <w:between w:val="nil"/>
              </w:pBdr>
              <w:spacing w:before="0" w:after="160" w:line="259" w:lineRule="auto"/>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Height: </w:t>
            </w:r>
            <w:r>
              <w:rPr>
                <w:rFonts w:ascii="Times New Roman" w:eastAsia="Times New Roman" w:hAnsi="Times New Roman" w:cs="Times New Roman"/>
                <w:sz w:val="22"/>
                <w:szCs w:val="22"/>
              </w:rPr>
              <w:t xml:space="preserve">maximum </w:t>
            </w:r>
            <w:r>
              <w:rPr>
                <w:rFonts w:ascii="Times New Roman" w:eastAsia="Times New Roman" w:hAnsi="Times New Roman" w:cs="Times New Roman"/>
                <w:color w:val="000000"/>
                <w:sz w:val="22"/>
                <w:szCs w:val="22"/>
              </w:rPr>
              <w:t>2,150 mm/</w:t>
            </w:r>
            <w:r>
              <w:rPr>
                <w:rFonts w:ascii="Times New Roman" w:eastAsia="Times New Roman" w:hAnsi="Times New Roman" w:cs="Times New Roman"/>
                <w:b/>
                <w:color w:val="000000"/>
                <w:sz w:val="22"/>
                <w:szCs w:val="22"/>
              </w:rPr>
              <w:t xml:space="preserve">Visina: </w:t>
            </w:r>
            <w:r>
              <w:rPr>
                <w:rFonts w:ascii="Times New Roman" w:eastAsia="Times New Roman" w:hAnsi="Times New Roman" w:cs="Times New Roman"/>
                <w:b/>
                <w:sz w:val="22"/>
                <w:szCs w:val="22"/>
              </w:rPr>
              <w:t xml:space="preserve">maximum </w:t>
            </w:r>
            <w:r>
              <w:rPr>
                <w:rFonts w:ascii="Times New Roman" w:eastAsia="Times New Roman" w:hAnsi="Times New Roman" w:cs="Times New Roman"/>
                <w:b/>
                <w:color w:val="000000"/>
                <w:sz w:val="22"/>
                <w:szCs w:val="22"/>
              </w:rPr>
              <w:t>2.150 mm</w:t>
            </w:r>
          </w:p>
          <w:p w14:paraId="1B80D833"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Suitable for indoor and outdoor use, with a construction resistant to weather conditions./</w:t>
            </w:r>
            <w:r>
              <w:rPr>
                <w:rFonts w:ascii="Times New Roman" w:eastAsia="Times New Roman" w:hAnsi="Times New Roman" w:cs="Times New Roman"/>
                <w:b/>
                <w:sz w:val="22"/>
                <w:szCs w:val="22"/>
              </w:rPr>
              <w:t>Prilagođen za unutrašnju i vanjsku upotrebu, sa konstrukcijom otpornom na vremenske uvjete.</w:t>
            </w:r>
          </w:p>
          <w:p w14:paraId="38F2E881"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Touchscreen: For user instructions and interaction./ </w:t>
            </w:r>
            <w:r>
              <w:rPr>
                <w:rFonts w:ascii="Times New Roman" w:eastAsia="Times New Roman" w:hAnsi="Times New Roman" w:cs="Times New Roman"/>
                <w:b/>
                <w:sz w:val="22"/>
                <w:szCs w:val="22"/>
              </w:rPr>
              <w:t>Ekran osjetljiv na dodir: Za korisničke upute i interakciju.</w:t>
            </w:r>
          </w:p>
          <w:p w14:paraId="59CE7DBF"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Reward options: QR codes, vouchers, tickets, cashback, or points via an app./</w:t>
            </w:r>
            <w:r>
              <w:rPr>
                <w:rFonts w:ascii="Times New Roman" w:eastAsia="Times New Roman" w:hAnsi="Times New Roman" w:cs="Times New Roman"/>
                <w:b/>
                <w:sz w:val="22"/>
                <w:szCs w:val="22"/>
              </w:rPr>
              <w:t xml:space="preserve">Opcije </w:t>
            </w:r>
            <w:r>
              <w:rPr>
                <w:rFonts w:ascii="Times New Roman" w:eastAsia="Times New Roman" w:hAnsi="Times New Roman" w:cs="Times New Roman"/>
                <w:b/>
                <w:sz w:val="22"/>
                <w:szCs w:val="22"/>
              </w:rPr>
              <w:lastRenderedPageBreak/>
              <w:t>nagrađivanja: QR kodovi, bonovi, karte, povrat novca ili bodovi putem aplikacije.</w:t>
            </w:r>
          </w:p>
          <w:p w14:paraId="61BADCE7"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Remote monitoring system: Software for real-time monitoring of fill levels, faults, and maintenance./</w:t>
            </w:r>
            <w:r>
              <w:rPr>
                <w:rFonts w:ascii="Times New Roman" w:eastAsia="Times New Roman" w:hAnsi="Times New Roman" w:cs="Times New Roman"/>
                <w:sz w:val="22"/>
                <w:szCs w:val="22"/>
              </w:rPr>
              <w:br/>
            </w:r>
            <w:r>
              <w:rPr>
                <w:rFonts w:ascii="Times New Roman" w:eastAsia="Times New Roman" w:hAnsi="Times New Roman" w:cs="Times New Roman"/>
                <w:b/>
                <w:sz w:val="22"/>
                <w:szCs w:val="22"/>
              </w:rPr>
              <w:t>Sistem za daljinsko praćenje: Softver za nadgledanje popunjenosti, kvarova i održavanja u realnom vremenu.</w:t>
            </w:r>
          </w:p>
          <w:p w14:paraId="58B985EC"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Robust construction resistant to vandalism./</w:t>
            </w:r>
            <w:r>
              <w:rPr>
                <w:rFonts w:ascii="Times New Roman" w:eastAsia="Times New Roman" w:hAnsi="Times New Roman" w:cs="Times New Roman"/>
                <w:b/>
                <w:sz w:val="22"/>
                <w:szCs w:val="22"/>
              </w:rPr>
              <w:t>Čvrsta konstrukcija otporna na vandalizam.</w:t>
            </w:r>
          </w:p>
          <w:p w14:paraId="6053A02D"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Waterproof materials for protection against weather conditions./</w:t>
            </w:r>
            <w:r>
              <w:rPr>
                <w:rFonts w:ascii="Times New Roman" w:eastAsia="Times New Roman" w:hAnsi="Times New Roman" w:cs="Times New Roman"/>
                <w:b/>
                <w:sz w:val="22"/>
                <w:szCs w:val="22"/>
              </w:rPr>
              <w:t>Vodootporni materijali za zaštitu od vremenskih uvjeta.</w:t>
            </w:r>
          </w:p>
          <w:p w14:paraId="0334B857" w14:textId="77777777" w:rsidR="000B3613" w:rsidRDefault="00601D09">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The supplier will brand the machine in accordance with program visibility rules, in agreement with the customer./</w:t>
            </w:r>
            <w:r>
              <w:rPr>
                <w:rFonts w:ascii="Times New Roman" w:eastAsia="Times New Roman" w:hAnsi="Times New Roman" w:cs="Times New Roman"/>
                <w:b/>
                <w:sz w:val="22"/>
                <w:szCs w:val="22"/>
              </w:rPr>
              <w:t>Dobavljač treba brendirati stroj u skladu s programskim pravilima vidljivosti u dogovoru s naručiteljem.</w:t>
            </w:r>
          </w:p>
          <w:p w14:paraId="18909ADA" w14:textId="77777777" w:rsidR="000B3613" w:rsidRDefault="000B3613">
            <w:pPr>
              <w:rPr>
                <w:rFonts w:ascii="Times New Roman" w:eastAsia="Times New Roman" w:hAnsi="Times New Roman" w:cs="Times New Roman"/>
                <w:b/>
                <w:sz w:val="22"/>
                <w:szCs w:val="22"/>
                <w:highlight w:val="yellow"/>
              </w:rPr>
            </w:pPr>
          </w:p>
        </w:tc>
        <w:tc>
          <w:tcPr>
            <w:tcW w:w="4253" w:type="dxa"/>
            <w:vAlign w:val="center"/>
          </w:tcPr>
          <w:p w14:paraId="7E916E57" w14:textId="77777777" w:rsidR="000B3613" w:rsidRDefault="000B3613">
            <w:pPr>
              <w:rPr>
                <w:rFonts w:ascii="Times New Roman" w:eastAsia="Times New Roman" w:hAnsi="Times New Roman" w:cs="Times New Roman"/>
                <w:b/>
                <w:sz w:val="22"/>
                <w:szCs w:val="22"/>
              </w:rPr>
            </w:pPr>
          </w:p>
        </w:tc>
        <w:tc>
          <w:tcPr>
            <w:tcW w:w="2835" w:type="dxa"/>
          </w:tcPr>
          <w:p w14:paraId="2C430BF3" w14:textId="77777777" w:rsidR="000B3613" w:rsidRDefault="000B3613">
            <w:pPr>
              <w:rPr>
                <w:rFonts w:ascii="Times New Roman" w:eastAsia="Times New Roman" w:hAnsi="Times New Roman" w:cs="Times New Roman"/>
                <w:b/>
                <w:sz w:val="22"/>
                <w:szCs w:val="22"/>
              </w:rPr>
            </w:pPr>
          </w:p>
        </w:tc>
        <w:tc>
          <w:tcPr>
            <w:tcW w:w="1984" w:type="dxa"/>
          </w:tcPr>
          <w:p w14:paraId="232E24FF" w14:textId="77777777" w:rsidR="000B3613" w:rsidRDefault="000B3613">
            <w:pPr>
              <w:tabs>
                <w:tab w:val="left" w:pos="729"/>
              </w:tabs>
              <w:jc w:val="center"/>
              <w:rPr>
                <w:rFonts w:ascii="Times New Roman" w:eastAsia="Times New Roman" w:hAnsi="Times New Roman" w:cs="Times New Roman"/>
                <w:b/>
                <w:sz w:val="22"/>
                <w:szCs w:val="22"/>
              </w:rPr>
            </w:pPr>
          </w:p>
        </w:tc>
      </w:tr>
      <w:tr w:rsidR="000B3613" w14:paraId="3C4B8685" w14:textId="77777777">
        <w:tc>
          <w:tcPr>
            <w:tcW w:w="1134" w:type="dxa"/>
          </w:tcPr>
          <w:p w14:paraId="1B841D62" w14:textId="77777777" w:rsidR="000B3613" w:rsidRDefault="00601D09">
            <w:pPr>
              <w:rPr>
                <w:rFonts w:ascii="Times New Roman" w:eastAsia="Times New Roman" w:hAnsi="Times New Roman" w:cs="Times New Roman"/>
                <w:b/>
                <w:sz w:val="22"/>
                <w:szCs w:val="22"/>
              </w:rPr>
            </w:pPr>
            <w:r>
              <w:rPr>
                <w:rFonts w:ascii="Times New Roman" w:eastAsia="Times New Roman" w:hAnsi="Times New Roman" w:cs="Times New Roman"/>
                <w:b/>
                <w:sz w:val="22"/>
                <w:szCs w:val="22"/>
              </w:rPr>
              <w:lastRenderedPageBreak/>
              <w:t>2</w:t>
            </w:r>
          </w:p>
        </w:tc>
        <w:tc>
          <w:tcPr>
            <w:tcW w:w="4678" w:type="dxa"/>
            <w:vAlign w:val="center"/>
          </w:tcPr>
          <w:p w14:paraId="366809AD" w14:textId="77777777" w:rsidR="000B3613" w:rsidRDefault="00601D09">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RECYCLING MACHINE FOR SCHOOLS / </w:t>
            </w:r>
            <w:r>
              <w:rPr>
                <w:rFonts w:ascii="Times New Roman" w:eastAsia="Times New Roman" w:hAnsi="Times New Roman" w:cs="Times New Roman"/>
                <w:b/>
                <w:sz w:val="22"/>
                <w:szCs w:val="22"/>
              </w:rPr>
              <w:t>RECIKLOMAT ZA ŠKOLU</w:t>
            </w:r>
          </w:p>
          <w:p w14:paraId="5047F9DA"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The machine housing is made of durable steel sheet/</w:t>
            </w:r>
            <w:r>
              <w:rPr>
                <w:rFonts w:ascii="Times New Roman" w:eastAsia="Times New Roman" w:hAnsi="Times New Roman" w:cs="Times New Roman"/>
                <w:b/>
                <w:sz w:val="22"/>
                <w:szCs w:val="22"/>
              </w:rPr>
              <w:t>Kabina uređaja izrađena je od čvrstog čeličnog lima.</w:t>
            </w:r>
          </w:p>
          <w:p w14:paraId="74490F63" w14:textId="77777777" w:rsidR="000B3613" w:rsidRDefault="00601D09">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Interactive screen (e.g., LCD) for displaying information, educational content, and advertisements./</w:t>
            </w:r>
            <w:r>
              <w:rPr>
                <w:rFonts w:ascii="Times New Roman" w:eastAsia="Times New Roman" w:hAnsi="Times New Roman" w:cs="Times New Roman"/>
                <w:b/>
                <w:sz w:val="22"/>
                <w:szCs w:val="22"/>
              </w:rPr>
              <w:t>Interaktivni ekran (npr. LCD) za prikaz informacija, edukativnog sadržaja i reklama.</w:t>
            </w:r>
          </w:p>
          <w:p w14:paraId="31E03816" w14:textId="77777777" w:rsidR="000B3613" w:rsidRDefault="00601D09">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Waste capacity is adapted to collect various types of packaging waste (e.g., plastic bottles, glass, cans)./</w:t>
            </w:r>
            <w:r>
              <w:rPr>
                <w:rFonts w:ascii="Times New Roman" w:eastAsia="Times New Roman" w:hAnsi="Times New Roman" w:cs="Times New Roman"/>
                <w:b/>
                <w:sz w:val="22"/>
                <w:szCs w:val="22"/>
              </w:rPr>
              <w:t>Kapacitet otpada prilagođen je za sakupljanje različitih vrsta ambalažnog otpada (npr. plastične boce, staklo, limenke).</w:t>
            </w:r>
          </w:p>
          <w:p w14:paraId="01D465DC" w14:textId="77777777" w:rsidR="000B3613" w:rsidRDefault="00601D09">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Option to reward users with symbolic gifts or points in exchange for collected waste (e.g., pencils or other promotional materials)./</w:t>
            </w:r>
            <w:r>
              <w:rPr>
                <w:rFonts w:ascii="Times New Roman" w:eastAsia="Times New Roman" w:hAnsi="Times New Roman" w:cs="Times New Roman"/>
                <w:b/>
                <w:sz w:val="22"/>
                <w:szCs w:val="22"/>
              </w:rPr>
              <w:t xml:space="preserve">Opcija nagrađivanja korisnika simboličnim poklonima ili bodovima u zamjenu za </w:t>
            </w:r>
            <w:r>
              <w:rPr>
                <w:rFonts w:ascii="Times New Roman" w:eastAsia="Times New Roman" w:hAnsi="Times New Roman" w:cs="Times New Roman"/>
                <w:b/>
                <w:sz w:val="22"/>
                <w:szCs w:val="22"/>
              </w:rPr>
              <w:lastRenderedPageBreak/>
              <w:t>prikupljeni otpad (npr. olovke ili drugi promotivni materijali).</w:t>
            </w:r>
          </w:p>
          <w:p w14:paraId="4C544F6F" w14:textId="77777777" w:rsidR="000B3613" w:rsidRDefault="00601D09">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Equipped with wheels for easy mobility and flexible placement./</w:t>
            </w:r>
            <w:r>
              <w:rPr>
                <w:rFonts w:ascii="Times New Roman" w:eastAsia="Times New Roman" w:hAnsi="Times New Roman" w:cs="Times New Roman"/>
                <w:b/>
                <w:sz w:val="22"/>
                <w:szCs w:val="22"/>
              </w:rPr>
              <w:t>Opremljen kotačima za lako premještanje i fleksibilno postavljanje.</w:t>
            </w:r>
          </w:p>
          <w:p w14:paraId="59783D1A" w14:textId="77777777" w:rsidR="000B3613" w:rsidRDefault="00601D09">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Tracks data on the amount of collected waste and distributed rewards./</w:t>
            </w:r>
            <w:r>
              <w:rPr>
                <w:rFonts w:ascii="Times New Roman" w:eastAsia="Times New Roman" w:hAnsi="Times New Roman" w:cs="Times New Roman"/>
                <w:b/>
                <w:sz w:val="22"/>
                <w:szCs w:val="22"/>
              </w:rPr>
              <w:t>Praćenje podataka o količini prikupljenog otpada i distribuiranih nagrada.</w:t>
            </w:r>
          </w:p>
          <w:p w14:paraId="74CCEEE0" w14:textId="77777777" w:rsidR="000B3613" w:rsidRDefault="00601D09">
            <w:pPr>
              <w:spacing w:before="0" w:after="160" w:line="259" w:lineRule="auto"/>
              <w:rPr>
                <w:rFonts w:ascii="Times New Roman" w:eastAsia="Times New Roman" w:hAnsi="Times New Roman" w:cs="Times New Roman"/>
                <w:b/>
                <w:sz w:val="22"/>
                <w:szCs w:val="22"/>
              </w:rPr>
            </w:pPr>
            <w:bookmarkStart w:id="0" w:name="_heading=h.1fob9te" w:colFirst="0" w:colLast="0"/>
            <w:bookmarkEnd w:id="0"/>
            <w:r>
              <w:rPr>
                <w:rFonts w:ascii="Times New Roman" w:eastAsia="Times New Roman" w:hAnsi="Times New Roman" w:cs="Times New Roman"/>
                <w:sz w:val="22"/>
                <w:szCs w:val="22"/>
              </w:rPr>
              <w:t>Ability to generate reports and send information to users or institutions</w:t>
            </w:r>
            <w:r>
              <w:rPr>
                <w:rFonts w:ascii="Times New Roman" w:eastAsia="Times New Roman" w:hAnsi="Times New Roman" w:cs="Times New Roman"/>
                <w:b/>
                <w:sz w:val="22"/>
                <w:szCs w:val="22"/>
              </w:rPr>
              <w:t>./Mogućnost generiranja izvještaja i slanja informacija korisnicima ili institucijama.</w:t>
            </w:r>
          </w:p>
          <w:p w14:paraId="74F4FECF" w14:textId="77777777" w:rsidR="000B3613" w:rsidRDefault="000B3613">
            <w:pPr>
              <w:spacing w:before="0" w:after="160" w:line="259" w:lineRule="auto"/>
              <w:jc w:val="center"/>
              <w:rPr>
                <w:rFonts w:ascii="Times New Roman" w:eastAsia="Times New Roman" w:hAnsi="Times New Roman" w:cs="Times New Roman"/>
                <w:sz w:val="22"/>
                <w:szCs w:val="22"/>
              </w:rPr>
            </w:pPr>
          </w:p>
        </w:tc>
        <w:tc>
          <w:tcPr>
            <w:tcW w:w="4253" w:type="dxa"/>
            <w:vAlign w:val="center"/>
          </w:tcPr>
          <w:p w14:paraId="75E039B7" w14:textId="77777777" w:rsidR="000B3613" w:rsidRDefault="000B3613">
            <w:pPr>
              <w:rPr>
                <w:rFonts w:ascii="Times New Roman" w:eastAsia="Times New Roman" w:hAnsi="Times New Roman" w:cs="Times New Roman"/>
                <w:b/>
                <w:sz w:val="22"/>
                <w:szCs w:val="22"/>
              </w:rPr>
            </w:pPr>
          </w:p>
        </w:tc>
        <w:tc>
          <w:tcPr>
            <w:tcW w:w="2835" w:type="dxa"/>
          </w:tcPr>
          <w:p w14:paraId="36131EB0" w14:textId="77777777" w:rsidR="000B3613" w:rsidRDefault="000B3613">
            <w:pPr>
              <w:rPr>
                <w:rFonts w:ascii="Times New Roman" w:eastAsia="Times New Roman" w:hAnsi="Times New Roman" w:cs="Times New Roman"/>
                <w:b/>
                <w:sz w:val="22"/>
                <w:szCs w:val="22"/>
              </w:rPr>
            </w:pPr>
          </w:p>
        </w:tc>
        <w:tc>
          <w:tcPr>
            <w:tcW w:w="1984" w:type="dxa"/>
          </w:tcPr>
          <w:p w14:paraId="168D0D7F" w14:textId="77777777" w:rsidR="000B3613" w:rsidRDefault="000B3613">
            <w:pPr>
              <w:tabs>
                <w:tab w:val="left" w:pos="729"/>
              </w:tabs>
              <w:jc w:val="center"/>
              <w:rPr>
                <w:rFonts w:ascii="Times New Roman" w:eastAsia="Times New Roman" w:hAnsi="Times New Roman" w:cs="Times New Roman"/>
                <w:b/>
                <w:sz w:val="22"/>
                <w:szCs w:val="22"/>
              </w:rPr>
            </w:pPr>
          </w:p>
        </w:tc>
      </w:tr>
    </w:tbl>
    <w:p w14:paraId="38747DCD" w14:textId="77777777" w:rsidR="000B3613" w:rsidRDefault="000B3613">
      <w:pPr>
        <w:rPr>
          <w:rFonts w:ascii="Times New Roman" w:eastAsia="Times New Roman" w:hAnsi="Times New Roman" w:cs="Times New Roman"/>
          <w:b/>
          <w:color w:val="000000"/>
          <w:sz w:val="28"/>
          <w:szCs w:val="28"/>
        </w:rPr>
      </w:pPr>
      <w:bookmarkStart w:id="1" w:name="_heading=h.gjdgxs" w:colFirst="0" w:colLast="0"/>
      <w:bookmarkEnd w:id="1"/>
    </w:p>
    <w:p w14:paraId="680AE102" w14:textId="77777777" w:rsidR="000B3613" w:rsidRDefault="000B3613">
      <w:pPr>
        <w:rPr>
          <w:rFonts w:ascii="Times New Roman" w:eastAsia="Times New Roman" w:hAnsi="Times New Roman" w:cs="Times New Roman"/>
          <w:b/>
          <w:sz w:val="32"/>
          <w:szCs w:val="32"/>
        </w:rPr>
      </w:pPr>
    </w:p>
    <w:p w14:paraId="04670B22" w14:textId="77777777" w:rsidR="000B3613" w:rsidRDefault="000B3613"/>
    <w:sectPr w:rsidR="000B3613">
      <w:pgSz w:w="16838" w:h="11906" w:orient="landscape"/>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07C6F3C-F810-4EB7-B445-BEE76184F9D1}"/>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03E788CA-7307-47DF-BB48-E3D4AD4DB972}"/>
  </w:font>
  <w:font w:name="Tahoma">
    <w:panose1 w:val="020B0604030504040204"/>
    <w:charset w:val="EE"/>
    <w:family w:val="swiss"/>
    <w:pitch w:val="variable"/>
    <w:sig w:usb0="E1002EFF" w:usb1="C000605B" w:usb2="00000029" w:usb3="00000000" w:csb0="000101FF" w:csb1="00000000"/>
    <w:embedRegular r:id="rId3" w:fontKey="{5CF11351-9D2B-4DBC-A5BA-5755099C167C}"/>
  </w:font>
  <w:font w:name="Georgia">
    <w:panose1 w:val="02040502050405020303"/>
    <w:charset w:val="EE"/>
    <w:family w:val="roman"/>
    <w:pitch w:val="variable"/>
    <w:sig w:usb0="00000287" w:usb1="00000000" w:usb2="00000000" w:usb3="00000000" w:csb0="0000009F" w:csb1="00000000"/>
    <w:embedRegular r:id="rId4" w:fontKey="{0625D9FF-E1E8-4DFA-A7A7-02ECD2EAB057}"/>
    <w:embedItalic r:id="rId5" w:fontKey="{24AE0F82-25F4-4A74-92F7-286ECC8FA402}"/>
  </w:font>
  <w:font w:name="Cambria">
    <w:panose1 w:val="02040503050406030204"/>
    <w:charset w:val="EE"/>
    <w:family w:val="roman"/>
    <w:pitch w:val="variable"/>
    <w:sig w:usb0="E00006FF" w:usb1="420024FF" w:usb2="02000000" w:usb3="00000000" w:csb0="0000019F" w:csb1="00000000"/>
    <w:embedRegular r:id="rId6" w:fontKey="{D550C1CE-517A-4116-89D5-9C05A1B995B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023697"/>
    <w:multiLevelType w:val="multilevel"/>
    <w:tmpl w:val="FABC9970"/>
    <w:lvl w:ilvl="0">
      <w:start w:val="1"/>
      <w:numFmt w:val="bullet"/>
      <w:pStyle w:val="Naslov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Naslov4"/>
      <w:lvlText w:val="●"/>
      <w:lvlJc w:val="left"/>
      <w:pPr>
        <w:ind w:left="2880" w:hanging="360"/>
      </w:pPr>
      <w:rPr>
        <w:rFonts w:ascii="Noto Sans Symbols" w:eastAsia="Noto Sans Symbols" w:hAnsi="Noto Sans Symbols" w:cs="Noto Sans Symbols"/>
      </w:rPr>
    </w:lvl>
    <w:lvl w:ilvl="4">
      <w:start w:val="1"/>
      <w:numFmt w:val="bullet"/>
      <w:pStyle w:val="Naslov5"/>
      <w:lvlText w:val="o"/>
      <w:lvlJc w:val="left"/>
      <w:pPr>
        <w:ind w:left="3600" w:hanging="360"/>
      </w:pPr>
      <w:rPr>
        <w:rFonts w:ascii="Courier New" w:eastAsia="Courier New" w:hAnsi="Courier New" w:cs="Courier New"/>
      </w:rPr>
    </w:lvl>
    <w:lvl w:ilvl="5">
      <w:start w:val="1"/>
      <w:numFmt w:val="bullet"/>
      <w:pStyle w:val="Naslov6"/>
      <w:lvlText w:val="▪"/>
      <w:lvlJc w:val="left"/>
      <w:pPr>
        <w:ind w:left="4320" w:hanging="360"/>
      </w:pPr>
      <w:rPr>
        <w:rFonts w:ascii="Noto Sans Symbols" w:eastAsia="Noto Sans Symbols" w:hAnsi="Noto Sans Symbols" w:cs="Noto Sans Symbols"/>
      </w:rPr>
    </w:lvl>
    <w:lvl w:ilvl="6">
      <w:start w:val="1"/>
      <w:numFmt w:val="bullet"/>
      <w:pStyle w:val="Naslov7"/>
      <w:lvlText w:val="●"/>
      <w:lvlJc w:val="left"/>
      <w:pPr>
        <w:ind w:left="5040" w:hanging="360"/>
      </w:pPr>
      <w:rPr>
        <w:rFonts w:ascii="Noto Sans Symbols" w:eastAsia="Noto Sans Symbols" w:hAnsi="Noto Sans Symbols" w:cs="Noto Sans Symbols"/>
      </w:rPr>
    </w:lvl>
    <w:lvl w:ilvl="7">
      <w:start w:val="1"/>
      <w:numFmt w:val="bullet"/>
      <w:pStyle w:val="Naslov8"/>
      <w:lvlText w:val="o"/>
      <w:lvlJc w:val="left"/>
      <w:pPr>
        <w:ind w:left="5760" w:hanging="360"/>
      </w:pPr>
      <w:rPr>
        <w:rFonts w:ascii="Courier New" w:eastAsia="Courier New" w:hAnsi="Courier New" w:cs="Courier New"/>
      </w:rPr>
    </w:lvl>
    <w:lvl w:ilvl="8">
      <w:start w:val="1"/>
      <w:numFmt w:val="bullet"/>
      <w:pStyle w:val="Naslov9"/>
      <w:lvlText w:val="▪"/>
      <w:lvlJc w:val="left"/>
      <w:pPr>
        <w:ind w:left="6480" w:hanging="360"/>
      </w:pPr>
      <w:rPr>
        <w:rFonts w:ascii="Noto Sans Symbols" w:eastAsia="Noto Sans Symbols" w:hAnsi="Noto Sans Symbols" w:cs="Noto Sans Symbols"/>
      </w:rPr>
    </w:lvl>
  </w:abstractNum>
  <w:abstractNum w:abstractNumId="1" w15:restartNumberingAfterBreak="0">
    <w:nsid w:val="3B2416F4"/>
    <w:multiLevelType w:val="multilevel"/>
    <w:tmpl w:val="6F1C2236"/>
    <w:lvl w:ilvl="0">
      <w:start w:val="1"/>
      <w:numFmt w:val="bullet"/>
      <w:lvlText w:val="●"/>
      <w:lvlJc w:val="left"/>
      <w:pPr>
        <w:ind w:left="737" w:hanging="17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67DC29A2"/>
    <w:multiLevelType w:val="multilevel"/>
    <w:tmpl w:val="C7A23A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09076118">
    <w:abstractNumId w:val="0"/>
  </w:num>
  <w:num w:numId="2" w16cid:durableId="1519395343">
    <w:abstractNumId w:val="2"/>
  </w:num>
  <w:num w:numId="3" w16cid:durableId="1655633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3613"/>
    <w:rsid w:val="000B3613"/>
    <w:rsid w:val="00601D09"/>
    <w:rsid w:val="0088387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E1607E"/>
  <w15:docId w15:val="{C0322459-2886-44FC-97E9-C9DC6AB66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hr-HR" w:eastAsia="hr-H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9EB"/>
    <w:rPr>
      <w:snapToGrid w:val="0"/>
      <w:lang w:eastAsia="hr-BA"/>
    </w:rPr>
  </w:style>
  <w:style w:type="paragraph" w:styleId="Naslov1">
    <w:name w:val="heading 1"/>
    <w:basedOn w:val="Normal"/>
    <w:next w:val="Normal"/>
    <w:link w:val="Naslov1Char"/>
    <w:uiPriority w:val="9"/>
    <w:qFormat/>
    <w:rsid w:val="00BF79EB"/>
    <w:pPr>
      <w:keepNext/>
      <w:numPr>
        <w:numId w:val="1"/>
      </w:numPr>
      <w:tabs>
        <w:tab w:val="right" w:pos="567"/>
      </w:tabs>
      <w:spacing w:before="240" w:after="240"/>
      <w:jc w:val="both"/>
      <w:outlineLvl w:val="0"/>
    </w:pPr>
    <w:rPr>
      <w:b/>
      <w:lang w:val="fr-BE"/>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link w:val="Naslov4Char"/>
    <w:uiPriority w:val="9"/>
    <w:semiHidden/>
    <w:unhideWhenUsed/>
    <w:qFormat/>
    <w:rsid w:val="00BF79EB"/>
    <w:pPr>
      <w:keepNext/>
      <w:numPr>
        <w:ilvl w:val="3"/>
        <w:numId w:val="1"/>
      </w:numPr>
      <w:spacing w:before="240" w:after="60"/>
      <w:outlineLvl w:val="3"/>
    </w:pPr>
    <w:rPr>
      <w:b/>
      <w:sz w:val="24"/>
    </w:rPr>
  </w:style>
  <w:style w:type="paragraph" w:styleId="Naslov5">
    <w:name w:val="heading 5"/>
    <w:basedOn w:val="Normal"/>
    <w:next w:val="Normal"/>
    <w:link w:val="Naslov5Char"/>
    <w:uiPriority w:val="9"/>
    <w:semiHidden/>
    <w:unhideWhenUsed/>
    <w:qFormat/>
    <w:rsid w:val="00BF79EB"/>
    <w:pPr>
      <w:numPr>
        <w:ilvl w:val="4"/>
        <w:numId w:val="1"/>
      </w:numPr>
      <w:spacing w:before="240" w:after="60"/>
      <w:outlineLvl w:val="4"/>
    </w:pPr>
    <w:rPr>
      <w:sz w:val="22"/>
    </w:rPr>
  </w:style>
  <w:style w:type="paragraph" w:styleId="Naslov6">
    <w:name w:val="heading 6"/>
    <w:basedOn w:val="Normal"/>
    <w:next w:val="Normal"/>
    <w:link w:val="Naslov6Char"/>
    <w:uiPriority w:val="9"/>
    <w:semiHidden/>
    <w:unhideWhenUsed/>
    <w:qFormat/>
    <w:rsid w:val="00BF79EB"/>
    <w:pPr>
      <w:numPr>
        <w:ilvl w:val="5"/>
        <w:numId w:val="1"/>
      </w:numPr>
      <w:tabs>
        <w:tab w:val="num" w:pos="1152"/>
      </w:tabs>
      <w:spacing w:before="240" w:after="60"/>
      <w:ind w:left="1152" w:hanging="1152"/>
      <w:outlineLvl w:val="5"/>
    </w:pPr>
    <w:rPr>
      <w:i/>
      <w:sz w:val="22"/>
    </w:rPr>
  </w:style>
  <w:style w:type="paragraph" w:styleId="Naslov7">
    <w:name w:val="heading 7"/>
    <w:basedOn w:val="Normal"/>
    <w:next w:val="Normal"/>
    <w:link w:val="Naslov7Char"/>
    <w:qFormat/>
    <w:rsid w:val="00BF79EB"/>
    <w:pPr>
      <w:numPr>
        <w:ilvl w:val="6"/>
        <w:numId w:val="1"/>
      </w:numPr>
      <w:spacing w:before="240" w:after="60"/>
      <w:outlineLvl w:val="6"/>
    </w:pPr>
  </w:style>
  <w:style w:type="paragraph" w:styleId="Naslov8">
    <w:name w:val="heading 8"/>
    <w:basedOn w:val="Normal"/>
    <w:next w:val="Normal"/>
    <w:link w:val="Naslov8Char"/>
    <w:qFormat/>
    <w:rsid w:val="00BF79EB"/>
    <w:pPr>
      <w:numPr>
        <w:ilvl w:val="7"/>
        <w:numId w:val="1"/>
      </w:numPr>
      <w:spacing w:before="240" w:after="60"/>
      <w:outlineLvl w:val="7"/>
    </w:pPr>
    <w:rPr>
      <w:i/>
    </w:rPr>
  </w:style>
  <w:style w:type="paragraph" w:styleId="Naslov9">
    <w:name w:val="heading 9"/>
    <w:basedOn w:val="Normal"/>
    <w:next w:val="Normal"/>
    <w:link w:val="Naslov9Char"/>
    <w:qFormat/>
    <w:rsid w:val="00BF79EB"/>
    <w:pPr>
      <w:numPr>
        <w:ilvl w:val="8"/>
        <w:numId w:val="1"/>
      </w:numPr>
      <w:spacing w:before="240" w:after="60"/>
      <w:outlineLvl w:val="8"/>
    </w:pPr>
    <w:rPr>
      <w:b/>
      <w:i/>
      <w:sz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Naslov1Char">
    <w:name w:val="Naslov 1 Char"/>
    <w:basedOn w:val="Zadanifontodlomka"/>
    <w:link w:val="Naslov1"/>
    <w:rsid w:val="00BF79EB"/>
    <w:rPr>
      <w:rFonts w:ascii="Arial" w:eastAsia="Arial" w:hAnsi="Arial" w:cs="Arial"/>
      <w:b/>
      <w:snapToGrid w:val="0"/>
      <w:sz w:val="20"/>
      <w:szCs w:val="20"/>
      <w:lang w:val="fr-BE" w:eastAsia="hr-BA"/>
    </w:rPr>
  </w:style>
  <w:style w:type="character" w:customStyle="1" w:styleId="Naslov4Char">
    <w:name w:val="Naslov 4 Char"/>
    <w:basedOn w:val="Zadanifontodlomka"/>
    <w:link w:val="Naslov4"/>
    <w:rsid w:val="00BF79EB"/>
    <w:rPr>
      <w:rFonts w:ascii="Arial" w:eastAsia="Arial" w:hAnsi="Arial" w:cs="Arial"/>
      <w:b/>
      <w:snapToGrid w:val="0"/>
      <w:sz w:val="24"/>
      <w:szCs w:val="20"/>
      <w:lang w:val="hr-HR" w:eastAsia="hr-BA"/>
    </w:rPr>
  </w:style>
  <w:style w:type="character" w:customStyle="1" w:styleId="Naslov5Char">
    <w:name w:val="Naslov 5 Char"/>
    <w:basedOn w:val="Zadanifontodlomka"/>
    <w:link w:val="Naslov5"/>
    <w:rsid w:val="00BF79EB"/>
    <w:rPr>
      <w:rFonts w:ascii="Arial" w:eastAsia="Arial" w:hAnsi="Arial" w:cs="Arial"/>
      <w:snapToGrid w:val="0"/>
      <w:szCs w:val="20"/>
      <w:lang w:val="hr-HR" w:eastAsia="hr-BA"/>
    </w:rPr>
  </w:style>
  <w:style w:type="character" w:customStyle="1" w:styleId="Naslov6Char">
    <w:name w:val="Naslov 6 Char"/>
    <w:basedOn w:val="Zadanifontodlomka"/>
    <w:link w:val="Naslov6"/>
    <w:rsid w:val="00BF79EB"/>
    <w:rPr>
      <w:rFonts w:ascii="Arial" w:eastAsia="Arial" w:hAnsi="Arial" w:cs="Arial"/>
      <w:i/>
      <w:snapToGrid w:val="0"/>
      <w:szCs w:val="20"/>
      <w:lang w:val="hr-HR" w:eastAsia="hr-BA"/>
    </w:rPr>
  </w:style>
  <w:style w:type="character" w:customStyle="1" w:styleId="Naslov7Char">
    <w:name w:val="Naslov 7 Char"/>
    <w:basedOn w:val="Zadanifontodlomka"/>
    <w:link w:val="Naslov7"/>
    <w:rsid w:val="00BF79EB"/>
    <w:rPr>
      <w:rFonts w:ascii="Arial" w:eastAsia="Arial" w:hAnsi="Arial" w:cs="Arial"/>
      <w:snapToGrid w:val="0"/>
      <w:sz w:val="20"/>
      <w:szCs w:val="20"/>
      <w:lang w:val="hr-HR" w:eastAsia="hr-BA"/>
    </w:rPr>
  </w:style>
  <w:style w:type="character" w:customStyle="1" w:styleId="Naslov8Char">
    <w:name w:val="Naslov 8 Char"/>
    <w:basedOn w:val="Zadanifontodlomka"/>
    <w:link w:val="Naslov8"/>
    <w:rsid w:val="00BF79EB"/>
    <w:rPr>
      <w:rFonts w:ascii="Arial" w:eastAsia="Arial" w:hAnsi="Arial" w:cs="Arial"/>
      <w:i/>
      <w:snapToGrid w:val="0"/>
      <w:sz w:val="20"/>
      <w:szCs w:val="20"/>
      <w:lang w:val="hr-HR" w:eastAsia="hr-BA"/>
    </w:rPr>
  </w:style>
  <w:style w:type="character" w:customStyle="1" w:styleId="Naslov9Char">
    <w:name w:val="Naslov 9 Char"/>
    <w:basedOn w:val="Zadanifontodlomka"/>
    <w:link w:val="Naslov9"/>
    <w:rsid w:val="00BF79EB"/>
    <w:rPr>
      <w:rFonts w:ascii="Arial" w:eastAsia="Arial" w:hAnsi="Arial" w:cs="Arial"/>
      <w:b/>
      <w:i/>
      <w:snapToGrid w:val="0"/>
      <w:sz w:val="18"/>
      <w:szCs w:val="20"/>
      <w:lang w:val="hr-HR" w:eastAsia="hr-BA"/>
    </w:rPr>
  </w:style>
  <w:style w:type="paragraph" w:styleId="Odlomakpopisa">
    <w:name w:val="List Paragraph"/>
    <w:basedOn w:val="Normal"/>
    <w:uiPriority w:val="99"/>
    <w:qFormat/>
    <w:rsid w:val="00BF79EB"/>
    <w:pPr>
      <w:spacing w:before="0" w:after="200" w:line="276" w:lineRule="auto"/>
      <w:ind w:left="720"/>
      <w:contextualSpacing/>
    </w:pPr>
    <w:rPr>
      <w:rFonts w:ascii="Calibri" w:eastAsia="Calibri" w:hAnsi="Calibri"/>
      <w:snapToGrid/>
      <w:sz w:val="22"/>
      <w:szCs w:val="22"/>
      <w:lang w:val="en-US"/>
    </w:rPr>
  </w:style>
  <w:style w:type="paragraph" w:styleId="Tekstbalonia">
    <w:name w:val="Balloon Text"/>
    <w:basedOn w:val="Normal"/>
    <w:link w:val="TekstbaloniaChar"/>
    <w:uiPriority w:val="99"/>
    <w:semiHidden/>
    <w:unhideWhenUsed/>
    <w:rsid w:val="00BF79EB"/>
    <w:pPr>
      <w:spacing w:before="0" w:after="0"/>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F79EB"/>
    <w:rPr>
      <w:rFonts w:ascii="Tahoma" w:eastAsia="Arial" w:hAnsi="Tahoma" w:cs="Tahoma"/>
      <w:snapToGrid w:val="0"/>
      <w:sz w:val="16"/>
      <w:szCs w:val="16"/>
      <w:lang w:val="hr-HR" w:eastAsia="hr-BA"/>
    </w:rPr>
  </w:style>
  <w:style w:type="paragraph" w:styleId="Tekstkomentara">
    <w:name w:val="annotation text"/>
    <w:basedOn w:val="Normal"/>
    <w:link w:val="TekstkomentaraChar"/>
    <w:uiPriority w:val="99"/>
    <w:semiHidden/>
    <w:unhideWhenUsed/>
  </w:style>
  <w:style w:type="character" w:customStyle="1" w:styleId="TekstkomentaraChar">
    <w:name w:val="Tekst komentara Char"/>
    <w:basedOn w:val="Zadanifontodlomka"/>
    <w:link w:val="Tekstkomentara"/>
    <w:uiPriority w:val="99"/>
    <w:semiHidden/>
    <w:rPr>
      <w:rFonts w:ascii="Arial" w:eastAsia="Arial" w:hAnsi="Arial" w:cs="Arial"/>
      <w:snapToGrid w:val="0"/>
      <w:sz w:val="20"/>
      <w:szCs w:val="20"/>
      <w:lang w:val="hr-HR" w:eastAsia="hr-BA"/>
    </w:rPr>
  </w:style>
  <w:style w:type="character" w:styleId="Referencakomentara">
    <w:name w:val="annotation reference"/>
    <w:basedOn w:val="Zadanifontodlomka"/>
    <w:uiPriority w:val="99"/>
    <w:semiHidden/>
    <w:unhideWhenUsed/>
    <w:rPr>
      <w:sz w:val="16"/>
      <w:szCs w:val="16"/>
    </w:rPr>
  </w:style>
  <w:style w:type="paragraph" w:styleId="StandardWeb">
    <w:name w:val="Normal (Web)"/>
    <w:basedOn w:val="Normal"/>
    <w:uiPriority w:val="99"/>
    <w:semiHidden/>
    <w:unhideWhenUsed/>
    <w:rsid w:val="00BB3E97"/>
    <w:pPr>
      <w:spacing w:before="100" w:beforeAutospacing="1" w:after="100" w:afterAutospacing="1"/>
    </w:pPr>
    <w:rPr>
      <w:rFonts w:ascii="Times New Roman" w:eastAsia="Times New Roman" w:hAnsi="Times New Roman" w:cs="Times New Roman"/>
      <w:snapToGrid/>
      <w:sz w:val="24"/>
      <w:szCs w:val="24"/>
      <w:lang w:val="hr-BA"/>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yv5/igkdASHHUre9Tk9k0IJK8w==">CgMxLjAyCWguMWZvYjl0ZTIIaC5namRneHM4AHIhMWIwbGI1UVp3WU9pUnBaU1hZYXplMEZKU0FaMTgtUVVq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1084</Words>
  <Characters>6181</Characters>
  <Application>Microsoft Office Word</Application>
  <DocSecurity>0</DocSecurity>
  <Lines>51</Lines>
  <Paragraphs>14</Paragraphs>
  <ScaleCrop>false</ScaleCrop>
  <Company/>
  <LinksUpToDate>false</LinksUpToDate>
  <CharactersWithSpaces>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Mia Hojlaš</cp:lastModifiedBy>
  <cp:revision>2</cp:revision>
  <dcterms:created xsi:type="dcterms:W3CDTF">2025-01-07T18:36:00Z</dcterms:created>
  <dcterms:modified xsi:type="dcterms:W3CDTF">2025-01-10T07:52:00Z</dcterms:modified>
</cp:coreProperties>
</file>